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b w:val="0"/>
        </w:rPr>
        <w:t xml:space="preserve"> </w:t>
      </w:r>
      <w:r>
        <w:rPr>
          <w:rFonts w:ascii="Times New Roman" w:hAnsi="Times New Roman"/>
          <w:b w:val="1"/>
          <w:sz w:val="28"/>
        </w:rPr>
        <w:t>Определены требования к маркировке государствами - членами ЕАЭС икры осетровых и икры лососевых (красной икры)</w:t>
      </w:r>
    </w:p>
    <w:p w14:paraId="03000000">
      <w:pPr>
        <w:spacing w:after="120" w:before="120"/>
        <w:ind w:firstLine="0" w:left="120" w:right="120"/>
        <w:rPr>
          <w:rFonts w:ascii="Times New Roman" w:hAnsi="Times New Roman"/>
          <w:sz w:val="28"/>
        </w:rPr>
      </w:pPr>
    </w:p>
    <w:p w14:paraId="04000000">
      <w:pPr>
        <w:spacing w:after="120" w:before="120"/>
        <w:ind w:firstLine="0"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Решение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Совета Евразийской экономической комиссии от 08.07.2025 N 79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маркировке икры осетровых и икры лососевых (красной икры) средствами идентификации"</w:t>
      </w:r>
    </w:p>
    <w:p w14:paraId="05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Установлены в числе прочего: перечень товаров, подлежащих маркировке средствами идентификации; характеристики средства идентификации товаров, требования к составу и структуре информации, содержащейся в средстве идентификации, порядок генерации и нанесения такого средства идентификации; требования к формату, составу и структуре сведений о маркированных товарах, передаваемых между компетентными (уполномоченными) органами государств - членов ЕАЭС и между компетентными (уполномоченными) органами государств-членов и Евразийской экономической комиссией, а также срокам передачи таких сведений; минимальный состав сведений о маркированном товаре, содержащихся в информационной системе маркировки товаров, доступ к которым предоставляется потребителям и иным заинтересованным лицам, в том числе посредством информационных сервисов в составе национальных компонентов и интеграционного компонента информационной системы маркировки товаров.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Государства - члены ЕАЭС на своей территории самостоятельно определяют дату введения и порядок маркировки и уведомляют Евразийскую экономическую комиссию о такой дате не позднее чем за 6 месяцев до ее наступления.</w:t>
      </w: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Настоящее Решение вступает в силу по истечении 30 календарных дней с даты его официального опубликования.</w:t>
      </w:r>
    </w:p>
    <w:p w14:paraId="08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9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A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2025-11-11T15:08:30Z</dcterms:modified>
</cp:coreProperties>
</file>